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ATT20250400C.21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4/24/2026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6/8/2026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7E55CAC3" w14:textId="77777777" w:rsidR="00BA12C5" w:rsidRPr="00CC7C46" w:rsidRDefault="00BA12C5" w:rsidP="00BA12C5">
      <w:pPr>
        <w:spacing w:before="100" w:beforeAutospacing="1" w:after="100" w:afterAutospacing="1" w:line="300" w:lineRule="atLeast"/>
        <w:jc w:val="both"/>
        <w:rPr>
          <w:rFonts w:ascii="Arial Narrow" w:hAnsi="Arial Narrow" w:cs="Segoe UI"/>
          <w:sz w:val="22"/>
          <w:szCs w:val="22"/>
        </w:rPr>
      </w:pPr>
      <w:bookmarkStart w:id="0" w:name="_Hlk54703425"/>
      <w:bookmarkStart w:id="1" w:name="_Hlk70518723"/>
      <w:bookmarkStart w:id="2" w:name="_Hlk117513329"/>
      <w:bookmarkStart w:id="3" w:name="_Hlk134519618"/>
      <w:bookmarkStart w:id="4" w:name="_Hlk46136824"/>
      <w:r w:rsidRPr="00CC7C46">
        <w:rPr>
          <w:rFonts w:ascii="Arial Narrow" w:hAnsi="Arial Narrow" w:cs="Segoe UI"/>
          <w:sz w:val="22"/>
          <w:szCs w:val="22"/>
        </w:rPr>
        <w:t>BellSouth Telecommunications, LLC d/b/a AT&amp;T Florida (AT&amp;T Florida) intends to retire copper facilities serving the following Distribution Areas (DAs) due to damaged copper facilities, third</w:t>
      </w:r>
      <w:r w:rsidRPr="00CC7C46">
        <w:rPr>
          <w:rFonts w:ascii="Arial Narrow" w:hAnsi="Arial Narrow" w:cs="Segoe UI"/>
          <w:sz w:val="22"/>
          <w:szCs w:val="22"/>
        </w:rPr>
        <w:noBreakHyphen/>
        <w:t>party impacts, vehicle accidents, hazardous conditions, and other infrastructure failures that have resulted in degrading legacy services that are irreparable using copper. Temporizations are currently in place and remain subject to risk. There are no plans to replace the copper facilities after customer migrations are complete.</w:t>
      </w:r>
    </w:p>
    <w:p w14:paraId="3C50A682" w14:textId="77777777" w:rsidR="00BA12C5" w:rsidRPr="00CC7C46" w:rsidRDefault="00BA12C5" w:rsidP="00BA12C5">
      <w:pPr>
        <w:spacing w:before="100" w:beforeAutospacing="1" w:after="100" w:afterAutospacing="1" w:line="300" w:lineRule="atLeast"/>
        <w:rPr>
          <w:rFonts w:ascii="Arial Narrow" w:hAnsi="Arial Narrow" w:cs="Segoe UI"/>
          <w:sz w:val="22"/>
          <w:szCs w:val="22"/>
        </w:rPr>
      </w:pPr>
      <w:r w:rsidRPr="00CC7C46">
        <w:rPr>
          <w:rFonts w:ascii="Arial Narrow" w:hAnsi="Arial Narrow" w:cs="Segoe UI"/>
          <w:sz w:val="22"/>
          <w:szCs w:val="22"/>
        </w:rPr>
        <w:t xml:space="preserve">The impacted Distribution Areas and associated </w:t>
      </w:r>
      <w:r>
        <w:rPr>
          <w:rFonts w:ascii="Arial Narrow" w:hAnsi="Arial Narrow" w:cs="Segoe UI"/>
          <w:sz w:val="22"/>
          <w:szCs w:val="22"/>
        </w:rPr>
        <w:t>W</w:t>
      </w:r>
      <w:r w:rsidRPr="00CC7C46">
        <w:rPr>
          <w:rFonts w:ascii="Arial Narrow" w:hAnsi="Arial Narrow" w:cs="Segoe UI"/>
          <w:sz w:val="22"/>
          <w:szCs w:val="22"/>
        </w:rPr>
        <w:t xml:space="preserve">ire </w:t>
      </w:r>
      <w:r>
        <w:rPr>
          <w:rFonts w:ascii="Arial Narrow" w:hAnsi="Arial Narrow" w:cs="Segoe UI"/>
          <w:sz w:val="22"/>
          <w:szCs w:val="22"/>
        </w:rPr>
        <w:t>C</w:t>
      </w:r>
      <w:r w:rsidRPr="00CC7C46">
        <w:rPr>
          <w:rFonts w:ascii="Arial Narrow" w:hAnsi="Arial Narrow" w:cs="Segoe UI"/>
          <w:sz w:val="22"/>
          <w:szCs w:val="22"/>
        </w:rPr>
        <w:t>enters are as follows:</w:t>
      </w:r>
    </w:p>
    <w:p w14:paraId="7D1092E1" w14:textId="77777777" w:rsidR="00BA12C5" w:rsidRPr="00CC7C46" w:rsidRDefault="00BA12C5" w:rsidP="00BA12C5">
      <w:pPr>
        <w:widowControl/>
        <w:numPr>
          <w:ilvl w:val="0"/>
          <w:numId w:val="48"/>
        </w:numPr>
        <w:spacing w:before="100" w:beforeAutospacing="1" w:after="100" w:afterAutospacing="1"/>
        <w:rPr>
          <w:rFonts w:ascii="Arial Narrow" w:hAnsi="Arial Narrow" w:cs="Segoe UI"/>
          <w:sz w:val="22"/>
          <w:szCs w:val="22"/>
        </w:rPr>
      </w:pPr>
      <w:r w:rsidRPr="00CC7C46">
        <w:rPr>
          <w:rFonts w:ascii="Arial Narrow" w:hAnsi="Arial Narrow" w:cs="Segoe UI"/>
          <w:sz w:val="22"/>
          <w:szCs w:val="22"/>
        </w:rPr>
        <w:t>(DA) 350123 – Hollywood Main Wire Center (HLWDFLMA)</w:t>
      </w:r>
    </w:p>
    <w:p w14:paraId="7FDFB0C7" w14:textId="77777777" w:rsidR="00BA12C5" w:rsidRPr="00CC7C46" w:rsidRDefault="00BA12C5" w:rsidP="00BA12C5">
      <w:pPr>
        <w:widowControl/>
        <w:numPr>
          <w:ilvl w:val="0"/>
          <w:numId w:val="48"/>
        </w:numPr>
        <w:spacing w:before="100" w:beforeAutospacing="1" w:after="100" w:afterAutospacing="1"/>
        <w:rPr>
          <w:rFonts w:ascii="Arial Narrow" w:hAnsi="Arial Narrow" w:cs="Segoe UI"/>
          <w:sz w:val="22"/>
          <w:szCs w:val="22"/>
        </w:rPr>
      </w:pPr>
      <w:r w:rsidRPr="00CC7C46">
        <w:rPr>
          <w:rFonts w:ascii="Arial Narrow" w:hAnsi="Arial Narrow" w:cs="Segoe UI"/>
          <w:sz w:val="22"/>
          <w:szCs w:val="22"/>
        </w:rPr>
        <w:t>(DAs) 112050 and 112051 – Holly Navarre Main Wire Center (HLNVFLMA)</w:t>
      </w:r>
    </w:p>
    <w:p w14:paraId="438DC9FD" w14:textId="77777777" w:rsidR="00BA12C5" w:rsidRPr="00CC7C46" w:rsidRDefault="00BA12C5" w:rsidP="00BA12C5">
      <w:pPr>
        <w:widowControl/>
        <w:numPr>
          <w:ilvl w:val="0"/>
          <w:numId w:val="48"/>
        </w:numPr>
        <w:spacing w:before="100" w:beforeAutospacing="1" w:after="100" w:afterAutospacing="1"/>
        <w:rPr>
          <w:rFonts w:ascii="Arial Narrow" w:hAnsi="Arial Narrow" w:cs="Segoe UI"/>
          <w:sz w:val="22"/>
          <w:szCs w:val="22"/>
        </w:rPr>
      </w:pPr>
      <w:r w:rsidRPr="00CC7C46">
        <w:rPr>
          <w:rFonts w:ascii="Arial Narrow" w:hAnsi="Arial Narrow" w:cs="Segoe UI"/>
          <w:sz w:val="22"/>
          <w:szCs w:val="22"/>
        </w:rPr>
        <w:t>(DA) 360154 – Warrington Wire Center (PNSCFLWA)</w:t>
      </w:r>
    </w:p>
    <w:p w14:paraId="318AC6F4" w14:textId="77777777" w:rsidR="00BA12C5" w:rsidRPr="00CC7C46" w:rsidRDefault="00BA12C5" w:rsidP="00BA12C5">
      <w:pPr>
        <w:widowControl/>
        <w:numPr>
          <w:ilvl w:val="0"/>
          <w:numId w:val="48"/>
        </w:numPr>
        <w:spacing w:before="100" w:beforeAutospacing="1" w:after="100" w:afterAutospacing="1"/>
        <w:rPr>
          <w:rFonts w:ascii="Arial Narrow" w:hAnsi="Arial Narrow" w:cs="Segoe UI"/>
          <w:sz w:val="22"/>
          <w:szCs w:val="22"/>
        </w:rPr>
      </w:pPr>
      <w:r w:rsidRPr="00CC7C46">
        <w:rPr>
          <w:rFonts w:ascii="Arial Narrow" w:hAnsi="Arial Narrow" w:cs="Segoe UI"/>
          <w:sz w:val="22"/>
          <w:szCs w:val="22"/>
        </w:rPr>
        <w:t>(DA) 314232 – Melbourne Main Wire Center (MLBRFLMA)</w:t>
      </w:r>
    </w:p>
    <w:p w14:paraId="33FF4287" w14:textId="77777777" w:rsidR="00BA12C5" w:rsidRPr="00CC7C46" w:rsidRDefault="00BA12C5" w:rsidP="00BA12C5">
      <w:pPr>
        <w:widowControl/>
        <w:numPr>
          <w:ilvl w:val="0"/>
          <w:numId w:val="48"/>
        </w:numPr>
        <w:spacing w:before="100" w:beforeAutospacing="1" w:after="100" w:afterAutospacing="1"/>
        <w:rPr>
          <w:rFonts w:ascii="Arial Narrow" w:hAnsi="Arial Narrow" w:cs="Segoe UI"/>
          <w:sz w:val="22"/>
          <w:szCs w:val="22"/>
        </w:rPr>
      </w:pPr>
      <w:r w:rsidRPr="00CC7C46">
        <w:rPr>
          <w:rFonts w:ascii="Arial Narrow" w:hAnsi="Arial Narrow" w:cs="Segoe UI"/>
          <w:sz w:val="22"/>
          <w:szCs w:val="22"/>
        </w:rPr>
        <w:t>(DAs) 310602 and 310611 – Homestead Wire Center (HMSTFLHM)</w:t>
      </w:r>
    </w:p>
    <w:p w14:paraId="62A7FE3F" w14:textId="77777777" w:rsidR="00BA12C5" w:rsidRPr="00CC7C46" w:rsidRDefault="00BA12C5" w:rsidP="00BA12C5">
      <w:pPr>
        <w:widowControl/>
        <w:numPr>
          <w:ilvl w:val="0"/>
          <w:numId w:val="48"/>
        </w:numPr>
        <w:spacing w:before="100" w:beforeAutospacing="1" w:after="100" w:afterAutospacing="1"/>
        <w:rPr>
          <w:rFonts w:ascii="Arial Narrow" w:hAnsi="Arial Narrow" w:cs="Segoe UI"/>
          <w:sz w:val="22"/>
          <w:szCs w:val="22"/>
        </w:rPr>
      </w:pPr>
      <w:r w:rsidRPr="00CC7C46">
        <w:rPr>
          <w:rFonts w:ascii="Arial Narrow" w:hAnsi="Arial Narrow" w:cs="Segoe UI"/>
          <w:sz w:val="22"/>
          <w:szCs w:val="22"/>
        </w:rPr>
        <w:t>(DA) 220609 – Tamarac Wire Center (PMBHFLTA)</w:t>
      </w:r>
    </w:p>
    <w:p w14:paraId="61D1A27B" w14:textId="77777777" w:rsidR="00BA12C5" w:rsidRPr="00CC7C46" w:rsidRDefault="00BA12C5" w:rsidP="00BA12C5">
      <w:pPr>
        <w:widowControl/>
        <w:numPr>
          <w:ilvl w:val="0"/>
          <w:numId w:val="48"/>
        </w:numPr>
        <w:spacing w:before="100" w:beforeAutospacing="1" w:after="100" w:afterAutospacing="1"/>
        <w:rPr>
          <w:rFonts w:ascii="Arial Narrow" w:hAnsi="Arial Narrow" w:cs="Segoe UI"/>
          <w:sz w:val="22"/>
          <w:szCs w:val="22"/>
        </w:rPr>
      </w:pPr>
      <w:r w:rsidRPr="00CC7C46">
        <w:rPr>
          <w:rFonts w:ascii="Arial Narrow" w:hAnsi="Arial Narrow" w:cs="Segoe UI"/>
          <w:sz w:val="22"/>
          <w:szCs w:val="22"/>
        </w:rPr>
        <w:t>(DA) 421233 – Pembroke Pines Wire Center (HLWDFLPE)</w:t>
      </w:r>
    </w:p>
    <w:p w14:paraId="42534298" w14:textId="77777777" w:rsidR="00BA12C5" w:rsidRPr="00CC7C46" w:rsidRDefault="00BA12C5" w:rsidP="00BA12C5">
      <w:pPr>
        <w:widowControl/>
        <w:numPr>
          <w:ilvl w:val="0"/>
          <w:numId w:val="48"/>
        </w:numPr>
        <w:spacing w:before="100" w:beforeAutospacing="1" w:after="100" w:afterAutospacing="1"/>
        <w:rPr>
          <w:rFonts w:ascii="Arial Narrow" w:hAnsi="Arial Narrow" w:cs="Segoe UI"/>
          <w:sz w:val="22"/>
          <w:szCs w:val="22"/>
        </w:rPr>
      </w:pPr>
      <w:r w:rsidRPr="00CC7C46">
        <w:rPr>
          <w:rFonts w:ascii="Arial Narrow" w:hAnsi="Arial Narrow" w:cs="Segoe UI"/>
          <w:sz w:val="22"/>
          <w:szCs w:val="22"/>
        </w:rPr>
        <w:t>(DA) 220101 – West Dade Wire Center (MIAMFLWD)</w:t>
      </w:r>
    </w:p>
    <w:p w14:paraId="43D5BD01" w14:textId="5054C5EB" w:rsidR="00436C5E" w:rsidRPr="00BA12C5" w:rsidRDefault="00BA12C5" w:rsidP="00BA12C5">
      <w:pPr>
        <w:spacing w:before="100" w:beforeAutospacing="1" w:after="100" w:afterAutospacing="1" w:line="300" w:lineRule="atLeast"/>
        <w:jc w:val="both"/>
        <w:rPr>
          <w:rFonts w:ascii="Arial Narrow" w:hAnsi="Arial Narrow" w:cs="Segoe UI"/>
          <w:sz w:val="22"/>
          <w:szCs w:val="22"/>
        </w:rPr>
      </w:pPr>
      <w:r w:rsidRPr="00CC7C46">
        <w:rPr>
          <w:rFonts w:ascii="Arial Narrow" w:hAnsi="Arial Narrow" w:cs="Segoe UI"/>
          <w:sz w:val="22"/>
          <w:szCs w:val="22"/>
        </w:rPr>
        <w:t>Rather than replace the damaged copper facilities, AT&amp;T Florida plans to migrate customers served by these copper facilities to existing Gigabit Passive Optical Network/Fiber</w:t>
      </w:r>
      <w:r w:rsidRPr="00CC7C46">
        <w:rPr>
          <w:rFonts w:ascii="Arial Narrow" w:hAnsi="Arial Narrow" w:cs="Segoe UI"/>
          <w:sz w:val="22"/>
          <w:szCs w:val="22"/>
        </w:rPr>
        <w:noBreakHyphen/>
        <w:t>to</w:t>
      </w:r>
      <w:r w:rsidRPr="00CC7C46">
        <w:rPr>
          <w:rFonts w:ascii="Arial Narrow" w:hAnsi="Arial Narrow" w:cs="Segoe UI"/>
          <w:sz w:val="22"/>
          <w:szCs w:val="22"/>
        </w:rPr>
        <w:noBreakHyphen/>
        <w:t>the</w:t>
      </w:r>
      <w:r w:rsidRPr="00CC7C46">
        <w:rPr>
          <w:rFonts w:ascii="Arial Narrow" w:hAnsi="Arial Narrow" w:cs="Segoe UI"/>
          <w:sz w:val="22"/>
          <w:szCs w:val="22"/>
        </w:rPr>
        <w:noBreakHyphen/>
        <w:t>Premises (GPON/FTTP) facilities and then retire the copper facilities.</w:t>
      </w:r>
    </w:p>
    <w:p w14:paraId="79C0AED2" w14:textId="77777777" w:rsidR="00436C5E" w:rsidRPr="00685487" w:rsidRDefault="00436C5E" w:rsidP="00436C5E">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4CDFD53F" w14:textId="23ABF9BE" w:rsidR="00BA12C5" w:rsidRPr="00BA12C5" w:rsidRDefault="00BA12C5" w:rsidP="00BA12C5">
      <w:pPr>
        <w:widowControl/>
        <w:jc w:val="both"/>
        <w:rPr>
          <w:rFonts w:ascii="Arial Narrow" w:hAnsi="Arial Narrow" w:cs="Arial"/>
          <w:snapToGrid/>
          <w:sz w:val="22"/>
          <w:szCs w:val="22"/>
        </w:rPr>
      </w:pPr>
      <w:r w:rsidRPr="00BA12C5">
        <w:rPr>
          <w:rFonts w:ascii="Arial Narrow" w:hAnsi="Arial Narrow" w:cs="Segoe UI"/>
          <w:snapToGrid/>
          <w:sz w:val="22"/>
          <w:szCs w:val="22"/>
        </w:rPr>
        <w:t>After implementation of this plan, copper facilities will no longer be</w:t>
      </w:r>
      <w:r w:rsidRPr="00BA12C5">
        <w:rPr>
          <w:rFonts w:ascii="Arial Narrow" w:hAnsi="Arial Narrow" w:cs="Segoe UI"/>
          <w:b/>
          <w:bCs/>
          <w:snapToGrid/>
          <w:sz w:val="22"/>
          <w:szCs w:val="22"/>
        </w:rPr>
        <w:t xml:space="preserve"> </w:t>
      </w:r>
      <w:r w:rsidRPr="00BA12C5">
        <w:rPr>
          <w:rFonts w:ascii="Arial Narrow" w:hAnsi="Arial Narrow" w:cs="Segoe UI"/>
          <w:snapToGrid/>
          <w:sz w:val="22"/>
          <w:szCs w:val="22"/>
        </w:rPr>
        <w:t>available in the Distribution Areas listed above. As a result, unbundled loops requiring copper facilities</w:t>
      </w:r>
      <w:r w:rsidRPr="00BA12C5">
        <w:rPr>
          <w:rFonts w:ascii="Arial Narrow" w:hAnsi="Arial Narrow" w:cs="Segoe UI"/>
          <w:b/>
          <w:bCs/>
          <w:snapToGrid/>
          <w:sz w:val="22"/>
          <w:szCs w:val="22"/>
        </w:rPr>
        <w:t>,</w:t>
      </w:r>
      <w:r w:rsidRPr="00BA12C5">
        <w:rPr>
          <w:rFonts w:ascii="Arial Narrow" w:hAnsi="Arial Narrow" w:cs="Segoe UI"/>
          <w:snapToGrid/>
          <w:sz w:val="22"/>
          <w:szCs w:val="22"/>
        </w:rPr>
        <w:t xml:space="preserve"> including but not limited to digital subscriber line (DSL)</w:t>
      </w:r>
      <w:r w:rsidRPr="00BA12C5">
        <w:rPr>
          <w:rFonts w:ascii="Arial Narrow" w:hAnsi="Arial Narrow" w:cs="Segoe UI"/>
          <w:b/>
          <w:bCs/>
          <w:snapToGrid/>
          <w:sz w:val="22"/>
          <w:szCs w:val="22"/>
        </w:rPr>
        <w:t xml:space="preserve"> </w:t>
      </w:r>
      <w:r w:rsidRPr="00BA12C5">
        <w:rPr>
          <w:rFonts w:ascii="Arial Narrow" w:hAnsi="Arial Narrow" w:cs="Segoe UI"/>
          <w:snapToGrid/>
          <w:sz w:val="22"/>
          <w:szCs w:val="22"/>
        </w:rPr>
        <w:t>and line</w:t>
      </w:r>
      <w:r w:rsidRPr="00BA12C5">
        <w:rPr>
          <w:rFonts w:ascii="Arial Narrow" w:hAnsi="Arial Narrow" w:cs="Segoe UI"/>
          <w:snapToGrid/>
          <w:sz w:val="22"/>
          <w:szCs w:val="22"/>
        </w:rPr>
        <w:noBreakHyphen/>
        <w:t>sharing</w:t>
      </w:r>
      <w:r w:rsidRPr="00BA12C5">
        <w:rPr>
          <w:rFonts w:ascii="Arial Narrow" w:hAnsi="Arial Narrow" w:cs="Segoe UI"/>
          <w:b/>
          <w:bCs/>
          <w:snapToGrid/>
          <w:sz w:val="22"/>
          <w:szCs w:val="22"/>
        </w:rPr>
        <w:t xml:space="preserve"> </w:t>
      </w:r>
      <w:r w:rsidRPr="00BA12C5">
        <w:rPr>
          <w:rFonts w:ascii="Arial Narrow" w:hAnsi="Arial Narrow" w:cs="Segoe UI"/>
          <w:snapToGrid/>
          <w:sz w:val="22"/>
          <w:szCs w:val="22"/>
        </w:rPr>
        <w:t>circuits</w:t>
      </w:r>
      <w:r w:rsidRPr="00BA12C5">
        <w:rPr>
          <w:rFonts w:ascii="Arial Narrow" w:hAnsi="Arial Narrow" w:cs="Segoe UI"/>
          <w:b/>
          <w:bCs/>
          <w:snapToGrid/>
          <w:sz w:val="22"/>
          <w:szCs w:val="22"/>
        </w:rPr>
        <w:t>,</w:t>
      </w:r>
      <w:r w:rsidRPr="00BA12C5">
        <w:rPr>
          <w:rFonts w:ascii="Arial Narrow" w:hAnsi="Arial Narrow" w:cs="Segoe UI"/>
          <w:snapToGrid/>
          <w:sz w:val="22"/>
          <w:szCs w:val="22"/>
        </w:rPr>
        <w:t xml:space="preserve"> will no longer be available in these DAs Currently, AT&amp;T Florida’s records indicate that a total of 122</w:t>
      </w:r>
      <w:r w:rsidRPr="00BA12C5">
        <w:rPr>
          <w:rFonts w:ascii="Arial Narrow" w:hAnsi="Arial Narrow" w:cs="Segoe UI"/>
          <w:b/>
          <w:bCs/>
          <w:snapToGrid/>
          <w:sz w:val="22"/>
          <w:szCs w:val="22"/>
        </w:rPr>
        <w:t xml:space="preserve"> </w:t>
      </w:r>
      <w:r w:rsidRPr="00BA12C5">
        <w:rPr>
          <w:rFonts w:ascii="Arial Narrow" w:hAnsi="Arial Narrow" w:cs="Arial"/>
          <w:snapToGrid/>
          <w:sz w:val="22"/>
          <w:szCs w:val="22"/>
        </w:rPr>
        <w:t>assigned circuits,</w:t>
      </w:r>
      <w:r w:rsidRPr="00BA12C5">
        <w:rPr>
          <w:rFonts w:ascii="Arial Narrow" w:hAnsi="Arial Narrow" w:cs="Segoe UI"/>
          <w:b/>
          <w:bCs/>
          <w:snapToGrid/>
          <w:sz w:val="22"/>
          <w:szCs w:val="22"/>
        </w:rPr>
        <w:t xml:space="preserve"> </w:t>
      </w:r>
      <w:r w:rsidR="00946D2A">
        <w:rPr>
          <w:rFonts w:ascii="Arial Narrow" w:hAnsi="Arial Narrow" w:cs="Segoe UI"/>
          <w:snapToGrid/>
          <w:sz w:val="22"/>
          <w:szCs w:val="22"/>
        </w:rPr>
        <w:t>five</w:t>
      </w:r>
      <w:r w:rsidRPr="00BA12C5">
        <w:rPr>
          <w:rFonts w:ascii="Arial Narrow" w:hAnsi="Arial Narrow" w:cs="Segoe UI"/>
          <w:snapToGrid/>
          <w:sz w:val="22"/>
          <w:szCs w:val="22"/>
        </w:rPr>
        <w:t xml:space="preserve"> of which are competitive carrier circuits. </w:t>
      </w:r>
      <w:r w:rsidRPr="00BA12C5">
        <w:rPr>
          <w:rFonts w:ascii="Arial Narrow" w:hAnsi="Arial Narrow" w:cs="Arial"/>
          <w:snapToGrid/>
          <w:sz w:val="22"/>
          <w:szCs w:val="22"/>
        </w:rPr>
        <w:t>affected by this network change. Notices will be sent to the affected carriers to make alternative arrangements.</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lastRenderedPageBreak/>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4EA2891F" w:rsidR="00C606F0" w:rsidRPr="00685487" w:rsidRDefault="00B1228E" w:rsidP="00DE7749">
      <w:pPr>
        <w:jc w:val="both"/>
        <w:rPr>
          <w:rFonts w:ascii="Arial Narrow" w:hAnsi="Arial Narrow" w:cs="Arial"/>
          <w:b/>
          <w:sz w:val="22"/>
          <w:szCs w:val="22"/>
        </w:rPr>
      </w:pPr>
      <w:r>
        <w:rPr>
          <w:rFonts w:ascii="Arial Narrow" w:hAnsi="Arial Narrow" w:cs="Arial"/>
          <w:b/>
          <w:sz w:val="22"/>
          <w:szCs w:val="22"/>
        </w:rPr>
        <w:object w:dxaOrig="1539" w:dyaOrig="995" w14:anchorId="1C083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40780615"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42B0" w14:textId="77777777" w:rsidR="00554909" w:rsidRDefault="00554909">
      <w:r>
        <w:separator/>
      </w:r>
    </w:p>
  </w:endnote>
  <w:endnote w:type="continuationSeparator" w:id="0">
    <w:p w14:paraId="20DF691A" w14:textId="77777777" w:rsidR="00554909" w:rsidRDefault="00554909">
      <w:r>
        <w:continuationSeparator/>
      </w:r>
    </w:p>
  </w:endnote>
  <w:endnote w:type="continuationNotice" w:id="1">
    <w:p w14:paraId="7DCFB73D" w14:textId="77777777" w:rsidR="00554909" w:rsidRDefault="00554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27445</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E83F" w14:textId="77777777" w:rsidR="00554909" w:rsidRDefault="00554909">
      <w:r>
        <w:separator/>
      </w:r>
    </w:p>
  </w:footnote>
  <w:footnote w:type="continuationSeparator" w:id="0">
    <w:p w14:paraId="2EB6823A" w14:textId="77777777" w:rsidR="00554909" w:rsidRDefault="00554909">
      <w:r>
        <w:continuationSeparator/>
      </w:r>
    </w:p>
  </w:footnote>
  <w:footnote w:type="continuationNotice" w:id="1">
    <w:p w14:paraId="0C8E954A" w14:textId="77777777" w:rsidR="00554909" w:rsidRDefault="00554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8B20C90"/>
    <w:multiLevelType w:val="multilevel"/>
    <w:tmpl w:val="5A1E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3"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5"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6"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7"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8"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9"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20"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1"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2"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3"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4"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5"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7"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8"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9"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30"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1"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2"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3"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4"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8"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40"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1"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2"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3"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4"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5"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6"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5"/>
  </w:num>
  <w:num w:numId="2" w16cid:durableId="934438763">
    <w:abstractNumId w:val="43"/>
  </w:num>
  <w:num w:numId="3" w16cid:durableId="1247887956">
    <w:abstractNumId w:val="12"/>
  </w:num>
  <w:num w:numId="4" w16cid:durableId="228349247">
    <w:abstractNumId w:val="6"/>
  </w:num>
  <w:num w:numId="5" w16cid:durableId="513957578">
    <w:abstractNumId w:val="22"/>
  </w:num>
  <w:num w:numId="6" w16cid:durableId="1476996048">
    <w:abstractNumId w:val="14"/>
  </w:num>
  <w:num w:numId="7" w16cid:durableId="1772773124">
    <w:abstractNumId w:val="4"/>
  </w:num>
  <w:num w:numId="8" w16cid:durableId="1248614320">
    <w:abstractNumId w:val="13"/>
  </w:num>
  <w:num w:numId="9" w16cid:durableId="365377070">
    <w:abstractNumId w:val="19"/>
  </w:num>
  <w:num w:numId="10" w16cid:durableId="1825661492">
    <w:abstractNumId w:val="17"/>
  </w:num>
  <w:num w:numId="11" w16cid:durableId="1920215511">
    <w:abstractNumId w:val="3"/>
  </w:num>
  <w:num w:numId="12" w16cid:durableId="302387770">
    <w:abstractNumId w:val="34"/>
  </w:num>
  <w:num w:numId="13" w16cid:durableId="1597519257">
    <w:abstractNumId w:val="33"/>
  </w:num>
  <w:num w:numId="14" w16cid:durableId="1201745785">
    <w:abstractNumId w:val="27"/>
  </w:num>
  <w:num w:numId="15" w16cid:durableId="1098865185">
    <w:abstractNumId w:val="15"/>
  </w:num>
  <w:num w:numId="16" w16cid:durableId="1863321374">
    <w:abstractNumId w:val="45"/>
  </w:num>
  <w:num w:numId="17" w16cid:durableId="1066758189">
    <w:abstractNumId w:val="23"/>
  </w:num>
  <w:num w:numId="18" w16cid:durableId="832574256">
    <w:abstractNumId w:val="8"/>
  </w:num>
  <w:num w:numId="19" w16cid:durableId="2066877934">
    <w:abstractNumId w:val="36"/>
  </w:num>
  <w:num w:numId="20" w16cid:durableId="1198079596">
    <w:abstractNumId w:val="31"/>
  </w:num>
  <w:num w:numId="21" w16cid:durableId="958146978">
    <w:abstractNumId w:val="41"/>
  </w:num>
  <w:num w:numId="22" w16cid:durableId="1790390972">
    <w:abstractNumId w:val="25"/>
  </w:num>
  <w:num w:numId="23" w16cid:durableId="718357243">
    <w:abstractNumId w:val="37"/>
  </w:num>
  <w:num w:numId="24" w16cid:durableId="817528809">
    <w:abstractNumId w:val="47"/>
  </w:num>
  <w:num w:numId="25" w16cid:durableId="1510293415">
    <w:abstractNumId w:val="42"/>
  </w:num>
  <w:num w:numId="26" w16cid:durableId="861432151">
    <w:abstractNumId w:val="20"/>
  </w:num>
  <w:num w:numId="27" w16cid:durableId="1645428690">
    <w:abstractNumId w:val="21"/>
  </w:num>
  <w:num w:numId="28" w16cid:durableId="1868324869">
    <w:abstractNumId w:val="26"/>
  </w:num>
  <w:num w:numId="29" w16cid:durableId="1701857891">
    <w:abstractNumId w:val="30"/>
  </w:num>
  <w:num w:numId="30" w16cid:durableId="2024937345">
    <w:abstractNumId w:val="29"/>
  </w:num>
  <w:num w:numId="31" w16cid:durableId="1442996906">
    <w:abstractNumId w:val="18"/>
  </w:num>
  <w:num w:numId="32" w16cid:durableId="728457217">
    <w:abstractNumId w:val="32"/>
  </w:num>
  <w:num w:numId="33" w16cid:durableId="1943756692">
    <w:abstractNumId w:val="28"/>
  </w:num>
  <w:num w:numId="34" w16cid:durableId="1163667350">
    <w:abstractNumId w:val="24"/>
  </w:num>
  <w:num w:numId="35" w16cid:durableId="232591845">
    <w:abstractNumId w:val="9"/>
  </w:num>
  <w:num w:numId="36" w16cid:durableId="900482797">
    <w:abstractNumId w:val="2"/>
  </w:num>
  <w:num w:numId="37" w16cid:durableId="1389182384">
    <w:abstractNumId w:val="5"/>
  </w:num>
  <w:num w:numId="38" w16cid:durableId="1800491304">
    <w:abstractNumId w:val="44"/>
  </w:num>
  <w:num w:numId="39" w16cid:durableId="980502601">
    <w:abstractNumId w:val="40"/>
  </w:num>
  <w:num w:numId="40" w16cid:durableId="223763608">
    <w:abstractNumId w:val="39"/>
  </w:num>
  <w:num w:numId="41" w16cid:durableId="2084521100">
    <w:abstractNumId w:val="16"/>
  </w:num>
  <w:num w:numId="42" w16cid:durableId="728071989">
    <w:abstractNumId w:val="7"/>
  </w:num>
  <w:num w:numId="43" w16cid:durableId="942109916">
    <w:abstractNumId w:val="1"/>
  </w:num>
  <w:num w:numId="44" w16cid:durableId="865678124">
    <w:abstractNumId w:val="10"/>
  </w:num>
  <w:num w:numId="45" w16cid:durableId="759523428">
    <w:abstractNumId w:val="46"/>
  </w:num>
  <w:num w:numId="46" w16cid:durableId="908808161">
    <w:abstractNumId w:val="0"/>
  </w:num>
  <w:num w:numId="47" w16cid:durableId="1020006777">
    <w:abstractNumId w:val="38"/>
  </w:num>
  <w:num w:numId="48" w16cid:durableId="4022153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6AC3"/>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36C5E"/>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2A05"/>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07D9"/>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5490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3373"/>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6D2A"/>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0A54"/>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1A05"/>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3D7"/>
    <w:rsid w:val="00AE4900"/>
    <w:rsid w:val="00AE60A4"/>
    <w:rsid w:val="00AF0738"/>
    <w:rsid w:val="00AF0D44"/>
    <w:rsid w:val="00AF2BDF"/>
    <w:rsid w:val="00AF4AA5"/>
    <w:rsid w:val="00AF5768"/>
    <w:rsid w:val="00AF6A6C"/>
    <w:rsid w:val="00B045C3"/>
    <w:rsid w:val="00B103BB"/>
    <w:rsid w:val="00B10425"/>
    <w:rsid w:val="00B10747"/>
    <w:rsid w:val="00B111CF"/>
    <w:rsid w:val="00B1228E"/>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2C5"/>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2910"/>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19E0"/>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31C9"/>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0741"/>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0D65"/>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character" w:styleId="Strong">
    <w:name w:val="Strong"/>
    <w:basedOn w:val="DefaultParagraphFont"/>
    <w:uiPriority w:val="22"/>
    <w:qFormat/>
    <w:rsid w:val="00436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96AC3"/>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007D9"/>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8C3373"/>
    <w:rsid w:val="009012F3"/>
    <w:rsid w:val="00903FB0"/>
    <w:rsid w:val="00910C00"/>
    <w:rsid w:val="00916808"/>
    <w:rsid w:val="00932A27"/>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1236"/>
    <w:rsid w:val="00A63A4D"/>
    <w:rsid w:val="00A71A05"/>
    <w:rsid w:val="00A9168B"/>
    <w:rsid w:val="00A92B8B"/>
    <w:rsid w:val="00A95F0C"/>
    <w:rsid w:val="00AA4A7A"/>
    <w:rsid w:val="00AC49F3"/>
    <w:rsid w:val="00AD5BDB"/>
    <w:rsid w:val="00AE43D7"/>
    <w:rsid w:val="00AF3C46"/>
    <w:rsid w:val="00B07F18"/>
    <w:rsid w:val="00B1079D"/>
    <w:rsid w:val="00B20582"/>
    <w:rsid w:val="00B44D5B"/>
    <w:rsid w:val="00B56E1E"/>
    <w:rsid w:val="00B724A9"/>
    <w:rsid w:val="00B726C9"/>
    <w:rsid w:val="00BA0CE0"/>
    <w:rsid w:val="00C948E5"/>
    <w:rsid w:val="00CA2D73"/>
    <w:rsid w:val="00CA714D"/>
    <w:rsid w:val="00CB5460"/>
    <w:rsid w:val="00CD3863"/>
    <w:rsid w:val="00CD387B"/>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2F89"/>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2636</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58</cp:revision>
  <cp:lastPrinted>2019-03-07T19:09:00Z</cp:lastPrinted>
  <dcterms:created xsi:type="dcterms:W3CDTF">2025-08-25T21:07:00Z</dcterms:created>
  <dcterms:modified xsi:type="dcterms:W3CDTF">2026-05-20T16:10:00Z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