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E3EF442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021</w:t>
                </w:r>
                <w:r w:rsidR="008E0C19">
                  <w:rPr>
                    <w:b/>
                    <w:sz w:val="24"/>
                    <w:szCs w:val="24"/>
                  </w:rPr>
                  <w:t>8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D0A495E" w:rsidR="00A61808" w:rsidRPr="001F44F8" w:rsidRDefault="001F44F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79D29627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920F2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>January 1</w:t>
      </w:r>
      <w:r w:rsidR="006C1C9B">
        <w:rPr>
          <w:rFonts w:cs="Arial"/>
          <w:sz w:val="24"/>
          <w:szCs w:val="24"/>
        </w:rPr>
        <w:t>0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6E02076C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8E0C19">
        <w:rPr>
          <w:rFonts w:cs="Arial"/>
          <w:sz w:val="24"/>
          <w:szCs w:val="24"/>
        </w:rPr>
        <w:t xml:space="preserve">Green Acres </w:t>
      </w:r>
      <w:r w:rsidRPr="000430EC">
        <w:rPr>
          <w:rFonts w:cs="Arial"/>
          <w:sz w:val="24"/>
          <w:szCs w:val="24"/>
        </w:rPr>
        <w:t>(</w:t>
      </w:r>
      <w:r w:rsidR="008E0C19">
        <w:rPr>
          <w:rFonts w:cs="Arial"/>
          <w:sz w:val="24"/>
          <w:szCs w:val="24"/>
        </w:rPr>
        <w:t>WPBHFLGA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14017893"/>
      <w:bookmarkStart w:id="13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4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5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4"/>
      <w:bookmarkEnd w:id="15"/>
      <w:bookmarkEnd w:id="12"/>
      <w:r w:rsidRPr="000430EC">
        <w:rPr>
          <w:rFonts w:cs="Arial"/>
          <w:sz w:val="24"/>
          <w:szCs w:val="24"/>
        </w:rPr>
        <w:t>.</w:t>
      </w:r>
    </w:p>
    <w:bookmarkEnd w:id="13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6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689E966" w:rsidR="00F16CBE" w:rsidRPr="00750922" w:rsidRDefault="008E0C1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3CBD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495914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42C7B"/>
    <w:rsid w:val="00A52D6E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1508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2025-11-14T18:08:00Z</dcterms:created>
  <dcterms:modified xsi:type="dcterms:W3CDTF">2025-11-18T14:19:00Z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