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F53D0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4F53D0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4F53D0" w:rsidRDefault="007458B4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ATT20250131C.1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B4F7E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DB4F7E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B4F7E" w:rsidRDefault="007458B4" w:rsidP="00F1359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>12/02/2025</w:t>
            </w:r>
          </w:p>
        </w:tc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A33494" w:rsidRDefault="00C14C22" w:rsidP="00C14C22">
            <w:pPr>
              <w:widowControl/>
              <w:tabs>
                <w:tab w:val="left" w:pos="5145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Pacific Bell Telephone Company d/b/a AT&amp;T California</w:t>
            </w:r>
          </w:p>
        </w:tc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A33494" w14:paraId="5C16C69A" w14:textId="77777777" w:rsidTr="00364B56">
        <w:tc>
          <w:tcPr>
            <w:tcW w:w="2340" w:type="dxa"/>
          </w:tcPr>
          <w:p w14:paraId="5ACADCD7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A33494" w:rsidRDefault="0015302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15302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Default="00364B56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1850F32D" w14:textId="61BD7282" w:rsidR="008C6FF4" w:rsidRPr="00414205" w:rsidRDefault="00364B56" w:rsidP="00AE119F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364B56" w:rsidRPr="00A33494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364B56" w:rsidRPr="00A33494" w:rsidRDefault="00364B56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31A5BE46" w14:textId="376FCBDA" w:rsidR="00364B56" w:rsidRPr="00A33494" w:rsidRDefault="004616A3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3510" w:type="dxa"/>
          </w:tcPr>
          <w:p w14:paraId="75D8EBA8" w14:textId="63D9461F" w:rsidR="00364B56" w:rsidRPr="003F31BD" w:rsidRDefault="003F31BD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3F31BD">
              <w:rPr>
                <w:rFonts w:cs="Arial"/>
                <w:snapToGrid/>
                <w:sz w:val="24"/>
                <w:szCs w:val="24"/>
              </w:rPr>
              <w:t>Thomas Arnett</w:t>
            </w:r>
          </w:p>
        </w:tc>
      </w:tr>
      <w:tr w:rsidR="00364B56" w:rsidRPr="00A33494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364B56" w:rsidRPr="00A33494" w:rsidRDefault="00364B56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1EF813A" w14:textId="5310E9E8" w:rsidR="00364B56" w:rsidRPr="00A33494" w:rsidRDefault="0067133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</w:t>
            </w:r>
            <w:r w:rsidR="00364B56">
              <w:rPr>
                <w:rFonts w:cs="Arial"/>
                <w:snapToGrid/>
                <w:sz w:val="24"/>
                <w:szCs w:val="24"/>
              </w:rPr>
              <w:t xml:space="preserve"> St, </w:t>
            </w:r>
            <w:r>
              <w:rPr>
                <w:rFonts w:cs="Arial"/>
                <w:snapToGrid/>
                <w:sz w:val="24"/>
                <w:szCs w:val="24"/>
              </w:rPr>
              <w:t>11</w:t>
            </w:r>
            <w:r w:rsidRPr="0067133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2783049E" w:rsidR="00D952F6" w:rsidRPr="003F31BD" w:rsidRDefault="00D952F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3F31BD">
              <w:rPr>
                <w:rFonts w:cs="Arial"/>
                <w:snapToGrid/>
                <w:sz w:val="24"/>
                <w:szCs w:val="24"/>
              </w:rPr>
              <w:t>311 S Akard St, 18</w:t>
            </w:r>
            <w:r w:rsidRPr="003F31BD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Pr="003F31BD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364B56" w:rsidRPr="00A33494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364B56" w:rsidRPr="00A33494" w:rsidRDefault="00364B56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52856E15" w14:textId="1636659A" w:rsidR="00364B56" w:rsidRPr="00A33494" w:rsidRDefault="00671336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364B56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364B56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3510" w:type="dxa"/>
          </w:tcPr>
          <w:p w14:paraId="669CADC4" w14:textId="19674883" w:rsidR="00364B56" w:rsidRPr="003F31BD" w:rsidRDefault="00D952F6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 w:rsidRPr="003F31BD">
              <w:rPr>
                <w:rFonts w:cs="Arial"/>
                <w:snapToGrid/>
                <w:sz w:val="24"/>
                <w:szCs w:val="24"/>
              </w:rPr>
              <w:t>Dallas, TX, 75202</w:t>
            </w:r>
          </w:p>
        </w:tc>
      </w:tr>
      <w:tr w:rsidR="00364B56" w:rsidRPr="00A33494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364B56" w:rsidRPr="00A33494" w:rsidRDefault="00364B56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F95E011" w14:textId="2DEFB4E9" w:rsidR="00364B56" w:rsidRPr="00A33494" w:rsidRDefault="00AF6A6C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3510" w:type="dxa"/>
          </w:tcPr>
          <w:p w14:paraId="0F94CAC8" w14:textId="72963339" w:rsidR="00364B56" w:rsidRPr="003F31BD" w:rsidRDefault="00AE119F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3F31BD">
              <w:rPr>
                <w:rFonts w:cs="Arial"/>
                <w:snapToGrid/>
                <w:sz w:val="24"/>
                <w:szCs w:val="24"/>
              </w:rPr>
              <w:t>972-266-1725</w:t>
            </w:r>
          </w:p>
        </w:tc>
      </w:tr>
      <w:tr w:rsidR="00364B56" w:rsidRPr="00A33494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364B56" w:rsidRPr="00A33494" w:rsidRDefault="00364B56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091BDCA" w14:textId="48AC0469" w:rsidR="00364B56" w:rsidRPr="00A33494" w:rsidRDefault="00AF6A6C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237376">
                <w:rPr>
                  <w:rStyle w:val="Hyperlink"/>
                  <w:rFonts w:cs="Arial"/>
                  <w:snapToGrid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19E9A1B5" w14:textId="18C2C969" w:rsidR="00364B56" w:rsidRDefault="008469AE" w:rsidP="00502E64">
            <w:pPr>
              <w:widowControl/>
            </w:pPr>
            <w:hyperlink r:id="rId13" w:history="1">
              <w:r w:rsidRPr="00C74D92">
                <w:rPr>
                  <w:rStyle w:val="Hyperlink"/>
                  <w:rFonts w:cs="Arial"/>
                  <w:snapToGrid/>
                  <w:sz w:val="24"/>
                  <w:szCs w:val="24"/>
                </w:rPr>
                <w:t>ta2250@att.com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1A7429E4" w:rsidR="00744CC6" w:rsidRPr="00316A4B" w:rsidRDefault="00744CC6" w:rsidP="00744CC6">
      <w:pPr>
        <w:rPr>
          <w:rFonts w:cs="Arial"/>
          <w:sz w:val="24"/>
          <w:szCs w:val="24"/>
        </w:rPr>
      </w:pPr>
      <w:r w:rsidRPr="00DB4F7E">
        <w:rPr>
          <w:rFonts w:cs="Arial"/>
          <w:b/>
          <w:sz w:val="24"/>
          <w:szCs w:val="24"/>
        </w:rPr>
        <w:t xml:space="preserve">Implementation Date: </w:t>
      </w:r>
      <w:r w:rsidR="0007755F">
        <w:rPr>
          <w:rFonts w:cs="Arial"/>
          <w:bCs/>
          <w:sz w:val="24"/>
          <w:szCs w:val="24"/>
        </w:rPr>
        <w:t xml:space="preserve">On or after </w:t>
      </w:r>
      <w:r w:rsidR="007458B4">
        <w:rPr>
          <w:rFonts w:cs="Arial"/>
          <w:sz w:val="24"/>
          <w:szCs w:val="24"/>
        </w:rPr>
        <w:t>01/16/2026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5E35E92" w14:textId="5D05CCB5" w:rsidR="00D16D62" w:rsidRDefault="0097402F" w:rsidP="00B77C85">
      <w:pPr>
        <w:widowControl/>
        <w:jc w:val="both"/>
        <w:rPr>
          <w:rFonts w:cs="Arial"/>
          <w:sz w:val="24"/>
          <w:szCs w:val="24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>
        <w:rPr>
          <w:rFonts w:cs="Arial"/>
          <w:snapToGrid/>
          <w:sz w:val="24"/>
          <w:szCs w:val="24"/>
        </w:rPr>
        <w:t>Pacific Bell Telephone Company d/b/a AT&amp;T California</w:t>
      </w:r>
      <w:r w:rsidR="00F91F73">
        <w:rPr>
          <w:rFonts w:cs="Arial"/>
          <w:snapToGrid/>
          <w:sz w:val="24"/>
          <w:szCs w:val="24"/>
        </w:rPr>
        <w:t xml:space="preserve"> (AT&amp;T California)</w:t>
      </w:r>
      <w:r>
        <w:rPr>
          <w:rFonts w:cs="Arial"/>
          <w:snapToGrid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</w:t>
      </w:r>
      <w:r w:rsidR="00D16D62" w:rsidRPr="00D16D62">
        <w:rPr>
          <w:rFonts w:cs="Arial"/>
          <w:sz w:val="24"/>
          <w:szCs w:val="24"/>
        </w:rPr>
        <w:t xml:space="preserve">ntends to retire copper </w:t>
      </w:r>
      <w:r w:rsidR="00153025">
        <w:rPr>
          <w:rFonts w:cs="Arial"/>
          <w:sz w:val="24"/>
          <w:szCs w:val="24"/>
        </w:rPr>
        <w:t xml:space="preserve">feeder </w:t>
      </w:r>
      <w:r w:rsidR="00D16D62" w:rsidRPr="00D16D62">
        <w:rPr>
          <w:rFonts w:cs="Arial"/>
          <w:sz w:val="24"/>
          <w:szCs w:val="24"/>
        </w:rPr>
        <w:t>facilities serving</w:t>
      </w:r>
      <w:r w:rsidR="00395744">
        <w:rPr>
          <w:rFonts w:cs="Arial"/>
          <w:sz w:val="24"/>
          <w:szCs w:val="24"/>
        </w:rPr>
        <w:t xml:space="preserve"> </w:t>
      </w:r>
      <w:r w:rsidR="002E481B">
        <w:rPr>
          <w:rFonts w:cs="Arial"/>
          <w:sz w:val="24"/>
          <w:szCs w:val="24"/>
        </w:rPr>
        <w:t xml:space="preserve">Distribution Areas (DAs) </w:t>
      </w:r>
      <w:r w:rsidR="00725BE1">
        <w:rPr>
          <w:rFonts w:cs="Arial"/>
          <w:sz w:val="24"/>
          <w:szCs w:val="24"/>
        </w:rPr>
        <w:t xml:space="preserve">212451, 310668, 310746, 311131, and 411401 </w:t>
      </w:r>
      <w:r w:rsidR="00D16D62" w:rsidRPr="00D16D62">
        <w:rPr>
          <w:rFonts w:cs="Arial"/>
          <w:sz w:val="24"/>
          <w:szCs w:val="24"/>
        </w:rPr>
        <w:t xml:space="preserve">in </w:t>
      </w:r>
      <w:r w:rsidR="00D16D62" w:rsidRPr="0091325F">
        <w:rPr>
          <w:rFonts w:cs="Arial"/>
          <w:sz w:val="24"/>
          <w:szCs w:val="24"/>
        </w:rPr>
        <w:t>the</w:t>
      </w:r>
      <w:r w:rsidR="007458B4">
        <w:rPr>
          <w:rFonts w:cs="Arial"/>
          <w:sz w:val="24"/>
          <w:szCs w:val="24"/>
        </w:rPr>
        <w:t xml:space="preserve"> Adams</w:t>
      </w:r>
      <w:r w:rsidR="00B77C85">
        <w:rPr>
          <w:rFonts w:cs="Arial"/>
          <w:sz w:val="24"/>
          <w:szCs w:val="24"/>
        </w:rPr>
        <w:t xml:space="preserve"> </w:t>
      </w:r>
      <w:r w:rsidR="00D16D62" w:rsidRPr="0091325F">
        <w:rPr>
          <w:rFonts w:cs="Arial"/>
          <w:sz w:val="24"/>
          <w:szCs w:val="24"/>
        </w:rPr>
        <w:t>(</w:t>
      </w:r>
      <w:r w:rsidR="007458B4">
        <w:rPr>
          <w:rFonts w:cs="Arial"/>
          <w:sz w:val="24"/>
          <w:szCs w:val="24"/>
        </w:rPr>
        <w:t>LSANCA14</w:t>
      </w:r>
      <w:r w:rsidR="00D16D62" w:rsidRPr="0091325F">
        <w:rPr>
          <w:rFonts w:cs="Arial"/>
          <w:sz w:val="24"/>
          <w:szCs w:val="24"/>
        </w:rPr>
        <w:t>)</w:t>
      </w:r>
      <w:r w:rsidR="00395744" w:rsidRPr="0091325F">
        <w:rPr>
          <w:rFonts w:cs="Arial"/>
          <w:sz w:val="24"/>
          <w:szCs w:val="24"/>
        </w:rPr>
        <w:t xml:space="preserve"> </w:t>
      </w:r>
      <w:r w:rsidR="00B864D0">
        <w:rPr>
          <w:rFonts w:cs="Arial"/>
          <w:sz w:val="24"/>
          <w:szCs w:val="24"/>
        </w:rPr>
        <w:t>W</w:t>
      </w:r>
      <w:r w:rsidR="00245F8D" w:rsidRPr="0091325F">
        <w:rPr>
          <w:rFonts w:cs="Arial"/>
          <w:sz w:val="24"/>
          <w:szCs w:val="24"/>
        </w:rPr>
        <w:t xml:space="preserve">ire </w:t>
      </w:r>
      <w:r w:rsidR="00B864D0">
        <w:rPr>
          <w:rFonts w:cs="Arial"/>
          <w:sz w:val="24"/>
          <w:szCs w:val="24"/>
        </w:rPr>
        <w:t>C</w:t>
      </w:r>
      <w:r w:rsidR="00245F8D" w:rsidRPr="0091325F">
        <w:rPr>
          <w:rFonts w:cs="Arial"/>
          <w:sz w:val="24"/>
          <w:szCs w:val="24"/>
        </w:rPr>
        <w:t xml:space="preserve">enter </w:t>
      </w:r>
      <w:r w:rsidR="003F7179">
        <w:rPr>
          <w:rFonts w:cs="Arial"/>
          <w:sz w:val="24"/>
          <w:szCs w:val="24"/>
        </w:rPr>
        <w:t>for the purpose of reclaiming underutilized copper cables. Currently, there are no customers served by these copper feeder facilities; therefore, this action will have no impact on customers.</w:t>
      </w:r>
    </w:p>
    <w:p w14:paraId="57984223" w14:textId="77777777" w:rsidR="003A61FB" w:rsidRDefault="003A61FB" w:rsidP="00B77C85">
      <w:pPr>
        <w:widowControl/>
        <w:jc w:val="both"/>
        <w:rPr>
          <w:rFonts w:cs="Arial"/>
          <w:sz w:val="24"/>
          <w:szCs w:val="24"/>
        </w:rPr>
      </w:pPr>
    </w:p>
    <w:p w14:paraId="0E90377E" w14:textId="0F9D1AD6" w:rsidR="003A61FB" w:rsidRPr="00B77C85" w:rsidRDefault="003A61FB" w:rsidP="00B77C85">
      <w:pPr>
        <w:widowControl/>
        <w:jc w:val="both"/>
        <w:rPr>
          <w:rFonts w:cs="Arial"/>
          <w:snapToGrid/>
          <w:sz w:val="24"/>
          <w:szCs w:val="24"/>
        </w:rPr>
      </w:pPr>
      <w:r>
        <w:rPr>
          <w:rFonts w:cs="Arial"/>
          <w:sz w:val="24"/>
          <w:szCs w:val="24"/>
        </w:rPr>
        <w:t>AT&amp;T California plans to continue providing service to these DAs over existing fiber-fed digital loop carrier facilities, as well as existing Gigabit Passive Optical Network/Fiber-to-the-Premises (GPON/FTTP) facilities, where applicable, and then retire the copper feeder facilities.</w:t>
      </w:r>
    </w:p>
    <w:p w14:paraId="4EAFB4D2" w14:textId="77777777" w:rsidR="00D16D62" w:rsidRPr="00D16D62" w:rsidRDefault="00D16D62" w:rsidP="00D16D62">
      <w:pPr>
        <w:jc w:val="both"/>
        <w:rPr>
          <w:rFonts w:cs="Arial"/>
          <w:sz w:val="24"/>
          <w:szCs w:val="24"/>
        </w:rPr>
      </w:pPr>
    </w:p>
    <w:p w14:paraId="099E93A2" w14:textId="77777777" w:rsidR="00EF681E" w:rsidRDefault="00EF681E" w:rsidP="00DE7749">
      <w:pPr>
        <w:jc w:val="both"/>
        <w:rPr>
          <w:rFonts w:cs="Arial"/>
          <w:sz w:val="24"/>
          <w:szCs w:val="24"/>
        </w:rPr>
      </w:pPr>
    </w:p>
    <w:p w14:paraId="758F0AFC" w14:textId="77777777" w:rsidR="00744CC6" w:rsidRPr="00744CC6" w:rsidRDefault="00744CC6" w:rsidP="00DE7749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30ED3CA" w:rsidR="00744CC6" w:rsidRDefault="00EF37A4" w:rsidP="00DE774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this plan, copper feeder facilities from the central office to th</w:t>
      </w:r>
      <w:r w:rsidR="004B2B96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4B2B96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DA</w:t>
      </w:r>
      <w:r w:rsidR="004B2B96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will no longer be available. Unbundled Loops requiring copper facilities, e.g., Digital Subscriber Line (DSL) or Line-Sharing circuits, will no longer be available in th</w:t>
      </w:r>
      <w:r w:rsidR="004B2B96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4B2B96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DA</w:t>
      </w:r>
      <w:r w:rsidR="004B2B96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. Currently, AT&amp;T California’s records indicate there are no working circuits, including competitive carrier circuits, on the copper feeder facilities in th</w:t>
      </w:r>
      <w:r w:rsidR="004B2B96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4B2B96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DA</w:t>
      </w:r>
      <w:r w:rsidR="004B2B96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.</w:t>
      </w:r>
    </w:p>
    <w:p w14:paraId="61010B80" w14:textId="77777777" w:rsidR="00884F9D" w:rsidRDefault="00884F9D" w:rsidP="00DE7749">
      <w:pPr>
        <w:jc w:val="both"/>
        <w:rPr>
          <w:rFonts w:cs="Arial"/>
          <w:sz w:val="24"/>
          <w:szCs w:val="24"/>
        </w:rPr>
      </w:pPr>
    </w:p>
    <w:bookmarkEnd w:id="4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71993860" w:rsidR="00744CC6" w:rsidRDefault="009C1F98" w:rsidP="00DE7749">
      <w:pPr>
        <w:jc w:val="both"/>
        <w:rPr>
          <w:rFonts w:cs="Arial"/>
          <w:b/>
          <w:sz w:val="24"/>
          <w:szCs w:val="24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 w:rsidR="00FC1AB1"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1446DC01" w:rsidR="00C606F0" w:rsidRPr="009B0490" w:rsidRDefault="00981392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16" w:dyaOrig="989" w14:anchorId="7D72C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4" o:title=""/>
          </v:shape>
          <o:OLEObject Type="Embed" ProgID="Excel.Sheet.12" ShapeID="_x0000_i1025" DrawAspect="Icon" ObjectID="_1825226887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6A61" w14:textId="77777777" w:rsidR="00DA77A7" w:rsidRDefault="00DA77A7">
      <w:r>
        <w:separator/>
      </w:r>
    </w:p>
  </w:endnote>
  <w:endnote w:type="continuationSeparator" w:id="0">
    <w:p w14:paraId="4EA477FF" w14:textId="77777777" w:rsidR="00DA77A7" w:rsidRDefault="00DA77A7">
      <w:r>
        <w:continuationSeparator/>
      </w:r>
    </w:p>
  </w:endnote>
  <w:endnote w:type="continuationNotice" w:id="1">
    <w:p w14:paraId="0467603D" w14:textId="77777777" w:rsidR="00DA77A7" w:rsidRDefault="00DA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26454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AA75" w14:textId="77777777" w:rsidR="00DA77A7" w:rsidRDefault="00DA77A7">
      <w:r>
        <w:separator/>
      </w:r>
    </w:p>
  </w:footnote>
  <w:footnote w:type="continuationSeparator" w:id="0">
    <w:p w14:paraId="10B357DC" w14:textId="77777777" w:rsidR="00DA77A7" w:rsidRDefault="00DA77A7">
      <w:r>
        <w:continuationSeparator/>
      </w:r>
    </w:p>
  </w:footnote>
  <w:footnote w:type="continuationNotice" w:id="1">
    <w:p w14:paraId="2F0E4981" w14:textId="77777777" w:rsidR="00DA77A7" w:rsidRDefault="00DA7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55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C654D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4475"/>
    <w:rsid w:val="00287041"/>
    <w:rsid w:val="00291318"/>
    <w:rsid w:val="00293493"/>
    <w:rsid w:val="00294973"/>
    <w:rsid w:val="002952C0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5A15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31BD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2B96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45B0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2B90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626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1392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58F0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A77A7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9E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2250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86040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95871"/>
    <w:rsid w:val="001A2354"/>
    <w:rsid w:val="001C41E6"/>
    <w:rsid w:val="001C654D"/>
    <w:rsid w:val="00210C47"/>
    <w:rsid w:val="00210EBB"/>
    <w:rsid w:val="00225157"/>
    <w:rsid w:val="00261C77"/>
    <w:rsid w:val="00280B38"/>
    <w:rsid w:val="00284475"/>
    <w:rsid w:val="00286741"/>
    <w:rsid w:val="00293493"/>
    <w:rsid w:val="002A498B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B5A15"/>
    <w:rsid w:val="003C17D1"/>
    <w:rsid w:val="003C2D7F"/>
    <w:rsid w:val="003E4FB5"/>
    <w:rsid w:val="00403671"/>
    <w:rsid w:val="004107E9"/>
    <w:rsid w:val="00443E51"/>
    <w:rsid w:val="0045042B"/>
    <w:rsid w:val="00477925"/>
    <w:rsid w:val="004B5C21"/>
    <w:rsid w:val="004C169B"/>
    <w:rsid w:val="004C5112"/>
    <w:rsid w:val="00510B13"/>
    <w:rsid w:val="00512649"/>
    <w:rsid w:val="005445B0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931F8"/>
    <w:rsid w:val="006D3C12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626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1968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ARNETT, THOMAS G</cp:lastModifiedBy>
  <cp:revision>49</cp:revision>
  <cp:lastPrinted>2019-03-07T19:09:00Z</cp:lastPrinted>
  <dcterms:created xsi:type="dcterms:W3CDTF">2025-08-25T21:07:00Z</dcterms:created>
  <dcterms:modified xsi:type="dcterms:W3CDTF">2025-11-21T16:42:00Z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