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1D0A2440"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5B6026">
                  <w:rPr>
                    <w:b/>
                    <w:sz w:val="24"/>
                    <w:szCs w:val="24"/>
                  </w:rPr>
                  <w:t>400</w:t>
                </w:r>
                <w:r w:rsidR="00C91A05">
                  <w:rPr>
                    <w:b/>
                    <w:sz w:val="24"/>
                    <w:szCs w:val="24"/>
                  </w:rPr>
                  <w:t>5</w:t>
                </w:r>
                <w:r w:rsidR="00653131">
                  <w:rPr>
                    <w:b/>
                    <w:sz w:val="24"/>
                    <w:szCs w:val="24"/>
                  </w:rPr>
                  <w:t>7</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18T00:00:00Z">
              <w:dateFormat w:val="M/d/yyyy"/>
              <w:lid w:val="en-US"/>
              <w:storeMappedDataAs w:val="dateTime"/>
              <w:calendar w:val="gregorian"/>
            </w:date>
          </w:sdtPr>
          <w:sdtEndPr/>
          <w:sdtContent>
            <w:tc>
              <w:tcPr>
                <w:tcW w:w="2790" w:type="dxa"/>
                <w:vAlign w:val="bottom"/>
              </w:tcPr>
              <w:p w14:paraId="6C97C9A9" w14:textId="44C01A98" w:rsidR="00A61808" w:rsidRPr="00A33494" w:rsidRDefault="008F6EEA" w:rsidP="00F13595">
                <w:pPr>
                  <w:widowControl/>
                  <w:rPr>
                    <w:rFonts w:cs="Arial"/>
                    <w:b/>
                    <w:snapToGrid/>
                    <w:sz w:val="24"/>
                    <w:szCs w:val="24"/>
                  </w:rPr>
                </w:pPr>
                <w:r>
                  <w:rPr>
                    <w:rFonts w:cs="Arial"/>
                    <w:b/>
                    <w:snapToGrid/>
                    <w:sz w:val="24"/>
                    <w:szCs w:val="24"/>
                  </w:rPr>
                  <w:t>4/18/2024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Florida">
                <w:listItem w:value="[Carrier Name]"/>
              </w:dropDownList>
            </w:sdtPr>
            <w:sdtEndPr/>
            <w:sdtContent>
              <w:p w14:paraId="2B630209" w14:textId="084B19BA" w:rsidR="004726DA" w:rsidRPr="00A33494" w:rsidRDefault="00296AD8" w:rsidP="00401691">
                <w:pPr>
                  <w:widowControl/>
                  <w:rPr>
                    <w:rFonts w:cs="Arial"/>
                    <w:snapToGrid/>
                    <w:sz w:val="24"/>
                    <w:szCs w:val="24"/>
                  </w:rPr>
                </w:pPr>
                <w:r>
                  <w:rPr>
                    <w:rFonts w:cs="Arial"/>
                    <w:snapToGrid/>
                    <w:sz w:val="24"/>
                    <w:szCs w:val="24"/>
                  </w:rPr>
                  <w:t>BellSouth Telecommunications, LLC d/b/a AT&amp;T Florida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8F6EEA"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8F6EEA"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29EDC2D1"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C91A05">
        <w:rPr>
          <w:rFonts w:cs="Arial"/>
          <w:sz w:val="24"/>
          <w:szCs w:val="24"/>
        </w:rPr>
        <w:t>August</w:t>
      </w:r>
      <w:r w:rsidR="00DA06E1">
        <w:rPr>
          <w:rFonts w:cs="Arial"/>
          <w:sz w:val="24"/>
          <w:szCs w:val="24"/>
        </w:rPr>
        <w:t xml:space="preserve"> </w:t>
      </w:r>
      <w:r w:rsidR="008F6EEA">
        <w:rPr>
          <w:rFonts w:cs="Arial"/>
          <w:sz w:val="24"/>
          <w:szCs w:val="24"/>
        </w:rPr>
        <w:t>16</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58369615"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296AD8">
        <w:rPr>
          <w:rFonts w:cs="Arial"/>
          <w:sz w:val="24"/>
          <w:szCs w:val="24"/>
        </w:rPr>
        <w:t>Florid</w:t>
      </w:r>
      <w:r w:rsidR="00712F3C">
        <w:rPr>
          <w:rFonts w:cs="Arial"/>
          <w:sz w:val="24"/>
          <w:szCs w:val="24"/>
        </w:rPr>
        <w:t>a</w:t>
      </w:r>
      <w:r w:rsidR="00385023">
        <w:rPr>
          <w:rFonts w:cs="Arial"/>
          <w:sz w:val="24"/>
          <w:szCs w:val="24"/>
        </w:rPr>
        <w:t xml:space="preserve"> intends to retire copper </w:t>
      </w:r>
      <w:r w:rsidR="00515870">
        <w:rPr>
          <w:rFonts w:cs="Arial"/>
          <w:sz w:val="24"/>
          <w:szCs w:val="24"/>
        </w:rPr>
        <w:t xml:space="preserve">feeder </w:t>
      </w:r>
      <w:r w:rsidR="00385023">
        <w:rPr>
          <w:rFonts w:cs="Arial"/>
          <w:sz w:val="24"/>
          <w:szCs w:val="24"/>
        </w:rPr>
        <w:t xml:space="preserve">facilities </w:t>
      </w:r>
      <w:r w:rsidR="00C91A05" w:rsidRPr="00C91A05">
        <w:rPr>
          <w:rFonts w:cs="Arial"/>
          <w:sz w:val="24"/>
          <w:szCs w:val="24"/>
        </w:rPr>
        <w:t>serving distribution area</w:t>
      </w:r>
      <w:r w:rsidR="00653131">
        <w:rPr>
          <w:rFonts w:cs="Arial"/>
          <w:sz w:val="24"/>
          <w:szCs w:val="24"/>
        </w:rPr>
        <w:t>s</w:t>
      </w:r>
      <w:r w:rsidR="00C91A05" w:rsidRPr="00C91A05">
        <w:rPr>
          <w:rFonts w:cs="Arial"/>
          <w:sz w:val="24"/>
          <w:szCs w:val="24"/>
        </w:rPr>
        <w:t xml:space="preserve"> (DA) </w:t>
      </w:r>
      <w:r w:rsidR="00653131">
        <w:rPr>
          <w:rFonts w:cs="Arial"/>
          <w:sz w:val="24"/>
          <w:szCs w:val="24"/>
        </w:rPr>
        <w:t>5</w:t>
      </w:r>
      <w:r w:rsidR="00C91A05" w:rsidRPr="00C91A05">
        <w:rPr>
          <w:rFonts w:cs="Arial"/>
          <w:sz w:val="24"/>
          <w:szCs w:val="24"/>
        </w:rPr>
        <w:t>1</w:t>
      </w:r>
      <w:r w:rsidR="00515870">
        <w:rPr>
          <w:rFonts w:cs="Arial"/>
          <w:sz w:val="24"/>
          <w:szCs w:val="24"/>
        </w:rPr>
        <w:t>204</w:t>
      </w:r>
      <w:r w:rsidR="00653131">
        <w:rPr>
          <w:rFonts w:cs="Arial"/>
          <w:sz w:val="24"/>
          <w:szCs w:val="24"/>
        </w:rPr>
        <w:t>7</w:t>
      </w:r>
      <w:r w:rsidR="00C91A05" w:rsidRPr="00C91A05">
        <w:rPr>
          <w:rFonts w:cs="Arial"/>
          <w:sz w:val="24"/>
          <w:szCs w:val="24"/>
        </w:rPr>
        <w:t xml:space="preserve"> </w:t>
      </w:r>
      <w:r w:rsidR="00653131">
        <w:rPr>
          <w:rFonts w:cs="Arial"/>
          <w:sz w:val="24"/>
          <w:szCs w:val="24"/>
        </w:rPr>
        <w:t xml:space="preserve">and 521640 </w:t>
      </w:r>
      <w:r w:rsidR="00C91A05" w:rsidRPr="00C91A05">
        <w:rPr>
          <w:rFonts w:cs="Arial"/>
          <w:sz w:val="24"/>
          <w:szCs w:val="24"/>
        </w:rPr>
        <w:t xml:space="preserve">in the </w:t>
      </w:r>
      <w:r w:rsidR="00653131">
        <w:rPr>
          <w:rFonts w:cs="Arial"/>
          <w:sz w:val="24"/>
          <w:szCs w:val="24"/>
        </w:rPr>
        <w:t>Normandy</w:t>
      </w:r>
      <w:r w:rsidR="00C91A05" w:rsidRPr="00C91A05">
        <w:rPr>
          <w:rFonts w:cs="Arial"/>
          <w:sz w:val="24"/>
          <w:szCs w:val="24"/>
        </w:rPr>
        <w:t xml:space="preserve"> wire center (</w:t>
      </w:r>
      <w:r w:rsidR="00653131">
        <w:rPr>
          <w:rFonts w:cs="Arial"/>
          <w:sz w:val="24"/>
          <w:szCs w:val="24"/>
        </w:rPr>
        <w:t>JCVLFLNO</w:t>
      </w:r>
      <w:r w:rsidR="00C91A05" w:rsidRPr="00C91A05">
        <w:rPr>
          <w:rFonts w:cs="Arial"/>
          <w:sz w:val="24"/>
          <w:szCs w:val="24"/>
        </w:rPr>
        <w:t xml:space="preserve">) </w:t>
      </w:r>
      <w:r w:rsidR="00653131">
        <w:rPr>
          <w:rFonts w:cs="Arial"/>
          <w:sz w:val="24"/>
          <w:szCs w:val="24"/>
        </w:rPr>
        <w:t>to reclaim low utilization copper cables</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6DD8797B" w:rsidR="00EF681E" w:rsidRDefault="00F5403A" w:rsidP="008B1063">
      <w:pPr>
        <w:jc w:val="both"/>
        <w:rPr>
          <w:sz w:val="24"/>
          <w:szCs w:val="24"/>
        </w:rPr>
      </w:pPr>
      <w:r w:rsidRPr="00F5403A">
        <w:rPr>
          <w:sz w:val="24"/>
          <w:szCs w:val="24"/>
        </w:rPr>
        <w:t xml:space="preserve">AT&amp;T </w:t>
      </w:r>
      <w:r w:rsidR="00296AD8">
        <w:rPr>
          <w:sz w:val="24"/>
          <w:szCs w:val="24"/>
        </w:rPr>
        <w:t>Florida</w:t>
      </w:r>
      <w:r w:rsidRPr="00F5403A">
        <w:rPr>
          <w:sz w:val="24"/>
          <w:szCs w:val="24"/>
        </w:rPr>
        <w:t xml:space="preserve"> </w:t>
      </w:r>
      <w:r w:rsidR="00C2521E">
        <w:rPr>
          <w:sz w:val="24"/>
          <w:szCs w:val="24"/>
        </w:rPr>
        <w:t xml:space="preserve">plans to </w:t>
      </w:r>
      <w:r w:rsidR="00653131">
        <w:rPr>
          <w:sz w:val="24"/>
          <w:szCs w:val="24"/>
        </w:rPr>
        <w:t>migrate the customers served over copper feeder facilities to</w:t>
      </w:r>
      <w:r w:rsidR="00515870" w:rsidRPr="00515870">
        <w:rPr>
          <w:sz w:val="24"/>
          <w:szCs w:val="24"/>
        </w:rPr>
        <w:t xml:space="preserve"> existing fiber-fed digital loop carrier (DLC) facilities and then retire the copper feeder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2AFDCDF9"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515870" w:rsidRPr="00515870">
        <w:rPr>
          <w:rFonts w:cs="Arial"/>
          <w:sz w:val="24"/>
          <w:szCs w:val="24"/>
        </w:rPr>
        <w:t>copper feeder facilities from the central office to th</w:t>
      </w:r>
      <w:r w:rsidR="00653131">
        <w:rPr>
          <w:rFonts w:cs="Arial"/>
          <w:sz w:val="24"/>
          <w:szCs w:val="24"/>
        </w:rPr>
        <w:t>e</w:t>
      </w:r>
      <w:r w:rsidR="00515870" w:rsidRPr="00515870">
        <w:rPr>
          <w:rFonts w:cs="Arial"/>
          <w:sz w:val="24"/>
          <w:szCs w:val="24"/>
        </w:rPr>
        <w:t>s</w:t>
      </w:r>
      <w:r w:rsidR="00653131">
        <w:rPr>
          <w:rFonts w:cs="Arial"/>
          <w:sz w:val="24"/>
          <w:szCs w:val="24"/>
        </w:rPr>
        <w:t>e</w:t>
      </w:r>
      <w:r w:rsidR="00515870" w:rsidRPr="00515870">
        <w:rPr>
          <w:rFonts w:cs="Arial"/>
          <w:sz w:val="24"/>
          <w:szCs w:val="24"/>
        </w:rPr>
        <w:t xml:space="preserve"> DA</w:t>
      </w:r>
      <w:r w:rsidR="00653131">
        <w:rPr>
          <w:rFonts w:cs="Arial"/>
          <w:sz w:val="24"/>
          <w:szCs w:val="24"/>
        </w:rPr>
        <w:t>s</w:t>
      </w:r>
      <w:r w:rsidR="00515870" w:rsidRPr="00515870">
        <w:rPr>
          <w:rFonts w:cs="Arial"/>
          <w:sz w:val="24"/>
          <w:szCs w:val="24"/>
        </w:rPr>
        <w:t xml:space="preserve"> will no longer be available. Unbundled loops requiring copper facilities, e.g., digital subscriber line (DSL) or line-sharing circuits will no longer be available in the DA</w:t>
      </w:r>
      <w:r w:rsidR="00653131">
        <w:rPr>
          <w:rFonts w:cs="Arial"/>
          <w:sz w:val="24"/>
          <w:szCs w:val="24"/>
        </w:rPr>
        <w:t>s</w:t>
      </w:r>
      <w:r w:rsidR="00515870" w:rsidRPr="00515870">
        <w:rPr>
          <w:rFonts w:cs="Arial"/>
          <w:sz w:val="24"/>
          <w:szCs w:val="24"/>
        </w:rPr>
        <w:t xml:space="preserve">. Currently, AT&amp;T </w:t>
      </w:r>
      <w:r w:rsidR="00515870">
        <w:rPr>
          <w:rFonts w:cs="Arial"/>
          <w:sz w:val="24"/>
          <w:szCs w:val="24"/>
        </w:rPr>
        <w:t>Florida</w:t>
      </w:r>
      <w:r w:rsidR="00515870" w:rsidRPr="00515870">
        <w:rPr>
          <w:rFonts w:cs="Arial"/>
          <w:sz w:val="24"/>
          <w:szCs w:val="24"/>
        </w:rPr>
        <w:t xml:space="preserve"> records indicate </w:t>
      </w:r>
      <w:r w:rsidR="00653131">
        <w:rPr>
          <w:rFonts w:cs="Arial"/>
          <w:sz w:val="24"/>
          <w:szCs w:val="24"/>
        </w:rPr>
        <w:t>8</w:t>
      </w:r>
      <w:r w:rsidR="00515870" w:rsidRPr="00515870">
        <w:rPr>
          <w:rFonts w:cs="Arial"/>
          <w:sz w:val="24"/>
          <w:szCs w:val="24"/>
        </w:rPr>
        <w:t xml:space="preserve"> assigned circuits, </w:t>
      </w:r>
      <w:r w:rsidR="00653131">
        <w:rPr>
          <w:rFonts w:cs="Arial"/>
          <w:sz w:val="24"/>
          <w:szCs w:val="24"/>
        </w:rPr>
        <w:t>none of which is a</w:t>
      </w:r>
      <w:r w:rsidR="00515870" w:rsidRPr="00515870">
        <w:rPr>
          <w:rFonts w:cs="Arial"/>
          <w:sz w:val="24"/>
          <w:szCs w:val="24"/>
        </w:rPr>
        <w:t xml:space="preserve"> competitive carrier circuit, </w:t>
      </w:r>
      <w:r w:rsidR="00515870">
        <w:rPr>
          <w:rFonts w:cs="Arial"/>
          <w:sz w:val="24"/>
          <w:szCs w:val="24"/>
        </w:rPr>
        <w:t>on these copper feeder facilities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77207F60" w:rsidR="00F16CBE" w:rsidRPr="00750922" w:rsidRDefault="00253393" w:rsidP="009F10D0">
      <w:pPr>
        <w:rPr>
          <w:rFonts w:cs="Arial"/>
          <w:sz w:val="24"/>
          <w:szCs w:val="24"/>
        </w:rPr>
      </w:pPr>
      <w:r>
        <w:rPr>
          <w:rFonts w:cs="Arial"/>
          <w:sz w:val="24"/>
          <w:szCs w:val="24"/>
        </w:rPr>
        <w:object w:dxaOrig="1632" w:dyaOrig="1056" w14:anchorId="34C389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2.5pt" o:ole="">
            <v:imagedata r:id="rId13" o:title=""/>
          </v:shape>
          <o:OLEObject Type="Embed" ProgID="Excel.Sheet.12" ShapeID="_x0000_i1025" DrawAspect="Icon" ObjectID="_1774068326"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131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47DDE"/>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86D55"/>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3393"/>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15870"/>
    <w:rsid w:val="00523647"/>
    <w:rsid w:val="00525A1F"/>
    <w:rsid w:val="00526F85"/>
    <w:rsid w:val="0053274C"/>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B6026"/>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53131"/>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2D87"/>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26FE"/>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8F6EEA"/>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0BCD"/>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36A79"/>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9763E"/>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1A0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06E1"/>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ATT20240057C.1</Network_x0020_Disclosure_x0020_Number_x0020_2>
    <From_x0020_State_x0020__x0028_abbv_x0029_ xmlns="8b644099-406f-4aeb-87fa-d90185c452f6">BellSouth Telecommunications, LLC d/b/a AT&amp;T Florida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2024-04-18T00:00:00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b644099-406f-4aeb-87fa-d90185c452f6"/>
    <ds:schemaRef ds:uri="http://purl.org/dc/dcmityp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Pages>
  <Words>217</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1666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88</cp:revision>
  <cp:lastPrinted>2019-03-07T19:09:00Z</cp:lastPrinted>
  <dcterms:created xsi:type="dcterms:W3CDTF">2021-08-31T18:18:00Z</dcterms:created>
  <dcterms:modified xsi:type="dcterms:W3CDTF">2024-04-08T12:59:00Z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